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437F61" w14:textId="77777777" w:rsidR="00DD073C" w:rsidRPr="00126D76" w:rsidRDefault="00DD073C" w:rsidP="00DD073C">
      <w:pPr>
        <w:pStyle w:val="KeinLeerraum"/>
        <w:rPr>
          <w:b/>
          <w:bCs/>
          <w:sz w:val="20"/>
          <w:szCs w:val="20"/>
        </w:rPr>
      </w:pPr>
      <w:r w:rsidRPr="00126D76">
        <w:rPr>
          <w:b/>
          <w:bCs/>
          <w:sz w:val="20"/>
          <w:szCs w:val="20"/>
        </w:rPr>
        <w:t xml:space="preserve">System zur </w:t>
      </w:r>
      <w:r>
        <w:rPr>
          <w:b/>
          <w:bCs/>
          <w:sz w:val="20"/>
          <w:szCs w:val="20"/>
        </w:rPr>
        <w:t>Belüftung von Aufzugsfahrkörben im Störfall und/oder Stromausfall inkl. Reinigung der Luft innerhalb des Aufzugsfahrkorbes mittels bipolarer Ionisierungstechnologie</w:t>
      </w:r>
    </w:p>
    <w:p w14:paraId="277A7D9D" w14:textId="77777777" w:rsidR="00DD073C" w:rsidRDefault="00DD073C" w:rsidP="00DD073C">
      <w:pPr>
        <w:pStyle w:val="KeinLeerraum"/>
        <w:rPr>
          <w:rFonts w:cstheme="minorHAnsi"/>
          <w:sz w:val="20"/>
          <w:szCs w:val="20"/>
        </w:rPr>
      </w:pPr>
    </w:p>
    <w:p w14:paraId="2131AD8E" w14:textId="77777777" w:rsidR="00DD073C" w:rsidRPr="00032921" w:rsidRDefault="00DD073C" w:rsidP="00DD073C">
      <w:pPr>
        <w:pStyle w:val="KeinLeerraum"/>
        <w:rPr>
          <w:rFonts w:cstheme="minorHAnsi"/>
          <w:sz w:val="20"/>
          <w:szCs w:val="20"/>
        </w:rPr>
      </w:pPr>
      <w:r w:rsidRPr="00F32C6F">
        <w:rPr>
          <w:rFonts w:cstheme="minorHAnsi"/>
          <w:sz w:val="20"/>
          <w:szCs w:val="20"/>
        </w:rPr>
        <w:t xml:space="preserve">Das angebotene System muss </w:t>
      </w:r>
      <w:r>
        <w:rPr>
          <w:rFonts w:cstheme="minorHAnsi"/>
          <w:sz w:val="20"/>
          <w:szCs w:val="20"/>
        </w:rPr>
        <w:t>die relevanten</w:t>
      </w:r>
      <w:r w:rsidRPr="00F32C6F">
        <w:rPr>
          <w:rFonts w:cstheme="minorHAnsi"/>
          <w:sz w:val="20"/>
          <w:szCs w:val="20"/>
        </w:rPr>
        <w:t xml:space="preserve"> gesetzlichen und normativen Anforderungen</w:t>
      </w:r>
      <w:r>
        <w:rPr>
          <w:rFonts w:cstheme="minorHAnsi"/>
          <w:sz w:val="20"/>
          <w:szCs w:val="20"/>
        </w:rPr>
        <w:t xml:space="preserve"> aus </w:t>
      </w:r>
      <w:r w:rsidRPr="00F32C6F">
        <w:rPr>
          <w:rFonts w:cstheme="minorHAnsi"/>
          <w:sz w:val="20"/>
          <w:szCs w:val="20"/>
        </w:rPr>
        <w:t>dem Baurecht</w:t>
      </w:r>
      <w:r>
        <w:rPr>
          <w:rFonts w:cstheme="minorHAnsi"/>
          <w:sz w:val="20"/>
          <w:szCs w:val="20"/>
        </w:rPr>
        <w:t>, der DIN EN 81-20 und VDI 6211</w:t>
      </w:r>
      <w:r w:rsidRPr="00F32C6F">
        <w:rPr>
          <w:rFonts w:cstheme="minorHAnsi"/>
          <w:sz w:val="20"/>
          <w:szCs w:val="20"/>
        </w:rPr>
        <w:t xml:space="preserve"> erfüllen</w:t>
      </w:r>
      <w:r>
        <w:rPr>
          <w:rFonts w:cstheme="minorHAnsi"/>
          <w:sz w:val="20"/>
          <w:szCs w:val="20"/>
        </w:rPr>
        <w:t xml:space="preserve">. Grundlage des Systems bildet die VDI 6211 / Be- und Entlüftung der Aufzugskabine sowie die Reduzierung von gesundheitsschädlichen Stoffkonzentrationen gemäß dem Gesundheitsschutz- und Sicherheitsanforderungen (GSA). </w:t>
      </w:r>
    </w:p>
    <w:p w14:paraId="09DBD8F0" w14:textId="77777777" w:rsidR="00DD073C" w:rsidRDefault="00DD073C" w:rsidP="00DD073C">
      <w:pPr>
        <w:pStyle w:val="KeinLeerraum"/>
        <w:rPr>
          <w:rFonts w:cstheme="minorHAnsi"/>
          <w:sz w:val="20"/>
          <w:szCs w:val="20"/>
        </w:rPr>
      </w:pPr>
    </w:p>
    <w:p w14:paraId="521E1314" w14:textId="77777777" w:rsidR="00DD073C" w:rsidRDefault="00DD073C" w:rsidP="00DD073C">
      <w:pPr>
        <w:pStyle w:val="KeinLeerraum"/>
        <w:rPr>
          <w:sz w:val="20"/>
          <w:szCs w:val="20"/>
        </w:rPr>
      </w:pPr>
      <w:r>
        <w:rPr>
          <w:sz w:val="20"/>
          <w:szCs w:val="20"/>
        </w:rPr>
        <w:t>Funktionsbeschreibung:</w:t>
      </w:r>
    </w:p>
    <w:p w14:paraId="66CEC054" w14:textId="77777777" w:rsidR="00DD073C" w:rsidRDefault="00DD073C" w:rsidP="00DD073C">
      <w:pPr>
        <w:pStyle w:val="KeinLeerraum"/>
        <w:rPr>
          <w:sz w:val="20"/>
          <w:szCs w:val="20"/>
        </w:rPr>
      </w:pPr>
      <w:r>
        <w:rPr>
          <w:sz w:val="20"/>
          <w:szCs w:val="20"/>
        </w:rPr>
        <w:t xml:space="preserve">Durch die Lüftereinheit wird ständig Luft in den Aufzugsfahrkorb geführt. Die Luftzufuhr muss für die maximal zulässige Personenzahl dimensioniert sein. Gleichzeitig werden die Luftmoleküle der zugeführten Luft durch das bipolare Ionisationssystem positiv oder negativ geladen. Durch diesen Ladezustand wirkt die Luft selbst als Medium um schädliche Stoffe wie Bakterien, Viren, Kohlenwasserstoffe, Aldehyde, Mikroorganismen, Schimmelpilze, etc. zu neutralisieren. Schädliche Stoffe werden sofort nach Ihrem entstehen inaktiviert, ohne zuvor über eine Luftzirkulation verteilt und dann erst zu einer Reinigungseinheit geführt zu werden. Zusätzlich erfolgt eine Reinigung der Oberflächen durch den Kontakt mit den ionisierten Luftmolekülen. </w:t>
      </w:r>
    </w:p>
    <w:p w14:paraId="24B53D18" w14:textId="77777777" w:rsidR="00DD073C" w:rsidRDefault="00DD073C" w:rsidP="00DD073C">
      <w:pPr>
        <w:pStyle w:val="KeinLeerraum"/>
        <w:rPr>
          <w:sz w:val="20"/>
          <w:szCs w:val="20"/>
        </w:rPr>
      </w:pPr>
    </w:p>
    <w:p w14:paraId="57F58EBE" w14:textId="77777777" w:rsidR="00DD073C" w:rsidRPr="00C2303D" w:rsidRDefault="00DD073C" w:rsidP="00DD073C">
      <w:pPr>
        <w:pStyle w:val="KeinLeerraum"/>
        <w:rPr>
          <w:sz w:val="20"/>
          <w:szCs w:val="20"/>
        </w:rPr>
      </w:pPr>
      <w:r w:rsidRPr="00C2303D">
        <w:rPr>
          <w:sz w:val="20"/>
          <w:szCs w:val="20"/>
        </w:rPr>
        <w:t>Produktmerkmale</w:t>
      </w:r>
      <w:r>
        <w:rPr>
          <w:sz w:val="20"/>
          <w:szCs w:val="20"/>
        </w:rPr>
        <w:t xml:space="preserve"> Ionisationseinheit</w:t>
      </w:r>
      <w:r w:rsidRPr="00C2303D">
        <w:rPr>
          <w:sz w:val="20"/>
          <w:szCs w:val="20"/>
        </w:rPr>
        <w:t>:</w:t>
      </w:r>
    </w:p>
    <w:p w14:paraId="027204BD" w14:textId="77777777" w:rsidR="00DD073C" w:rsidRDefault="00DD073C" w:rsidP="00DD073C">
      <w:pPr>
        <w:pStyle w:val="KeinLeerraum"/>
        <w:numPr>
          <w:ilvl w:val="1"/>
          <w:numId w:val="1"/>
        </w:numPr>
        <w:ind w:left="567" w:hanging="426"/>
        <w:rPr>
          <w:sz w:val="20"/>
          <w:szCs w:val="20"/>
        </w:rPr>
      </w:pPr>
      <w:r>
        <w:rPr>
          <w:sz w:val="20"/>
          <w:szCs w:val="20"/>
        </w:rPr>
        <w:t>Gehäuse aus Edelstahl mit abgerundeter Front</w:t>
      </w:r>
    </w:p>
    <w:p w14:paraId="6B2C87D8" w14:textId="77777777" w:rsidR="00DD073C" w:rsidRDefault="00DD073C" w:rsidP="00DD073C">
      <w:pPr>
        <w:pStyle w:val="KeinLeerraum"/>
        <w:numPr>
          <w:ilvl w:val="1"/>
          <w:numId w:val="1"/>
        </w:numPr>
        <w:ind w:left="567" w:hanging="426"/>
        <w:rPr>
          <w:sz w:val="20"/>
          <w:szCs w:val="20"/>
        </w:rPr>
      </w:pPr>
      <w:r>
        <w:rPr>
          <w:sz w:val="20"/>
          <w:szCs w:val="20"/>
        </w:rPr>
        <w:t xml:space="preserve">Abmessungen B x L x H: 220 x 240 x 60mm </w:t>
      </w:r>
    </w:p>
    <w:p w14:paraId="26646AB9" w14:textId="77777777" w:rsidR="00DD073C" w:rsidRDefault="00DD073C" w:rsidP="00DD073C">
      <w:pPr>
        <w:pStyle w:val="KeinLeerraum"/>
        <w:numPr>
          <w:ilvl w:val="1"/>
          <w:numId w:val="1"/>
        </w:numPr>
        <w:ind w:left="567" w:hanging="426"/>
        <w:rPr>
          <w:sz w:val="20"/>
          <w:szCs w:val="20"/>
        </w:rPr>
      </w:pPr>
      <w:r>
        <w:rPr>
          <w:sz w:val="20"/>
          <w:szCs w:val="20"/>
        </w:rPr>
        <w:t>Ionisierungsröhre ausgelegt auf die vorhandene Fahrkorbgröße</w:t>
      </w:r>
    </w:p>
    <w:p w14:paraId="755F1259" w14:textId="77777777" w:rsidR="00DD073C" w:rsidRDefault="00DD073C" w:rsidP="00DD073C">
      <w:pPr>
        <w:pStyle w:val="KeinLeerraum"/>
        <w:numPr>
          <w:ilvl w:val="1"/>
          <w:numId w:val="1"/>
        </w:numPr>
        <w:ind w:left="567" w:hanging="426"/>
        <w:rPr>
          <w:sz w:val="20"/>
          <w:szCs w:val="20"/>
        </w:rPr>
      </w:pPr>
      <w:r>
        <w:rPr>
          <w:sz w:val="20"/>
          <w:szCs w:val="20"/>
        </w:rPr>
        <w:t>Elektroanschluss 24V aus Spannungsversorgung der Lüftereinheit</w:t>
      </w:r>
    </w:p>
    <w:p w14:paraId="5B4FC3B0" w14:textId="77777777" w:rsidR="00DD073C" w:rsidRDefault="00DD073C" w:rsidP="00DD073C">
      <w:pPr>
        <w:pStyle w:val="KeinLeerraum"/>
        <w:numPr>
          <w:ilvl w:val="1"/>
          <w:numId w:val="1"/>
        </w:numPr>
        <w:ind w:left="567" w:hanging="426"/>
        <w:rPr>
          <w:sz w:val="20"/>
          <w:szCs w:val="20"/>
        </w:rPr>
      </w:pPr>
      <w:r>
        <w:rPr>
          <w:sz w:val="20"/>
          <w:szCs w:val="20"/>
        </w:rPr>
        <w:t>Leistungsaufnahme max. 9W</w:t>
      </w:r>
    </w:p>
    <w:p w14:paraId="1E130B62" w14:textId="77777777" w:rsidR="00DD073C" w:rsidRDefault="00DD073C" w:rsidP="00DD073C">
      <w:pPr>
        <w:pStyle w:val="KeinLeerraum"/>
        <w:numPr>
          <w:ilvl w:val="1"/>
          <w:numId w:val="1"/>
        </w:numPr>
        <w:ind w:left="567" w:hanging="426"/>
        <w:rPr>
          <w:sz w:val="20"/>
          <w:szCs w:val="20"/>
        </w:rPr>
      </w:pPr>
      <w:r>
        <w:rPr>
          <w:sz w:val="20"/>
          <w:szCs w:val="20"/>
        </w:rPr>
        <w:t>Konform nach DIN EN 61000-1</w:t>
      </w:r>
    </w:p>
    <w:p w14:paraId="5BA87D46" w14:textId="77777777" w:rsidR="00DD073C" w:rsidRDefault="00DD073C" w:rsidP="00DD073C">
      <w:pPr>
        <w:pStyle w:val="KeinLeerraum"/>
        <w:rPr>
          <w:sz w:val="20"/>
          <w:szCs w:val="20"/>
        </w:rPr>
      </w:pPr>
    </w:p>
    <w:p w14:paraId="69DADBFD" w14:textId="77777777" w:rsidR="00DD073C" w:rsidRDefault="00DD073C" w:rsidP="00DD073C">
      <w:pPr>
        <w:pStyle w:val="KeinLeerraum"/>
        <w:rPr>
          <w:rFonts w:cstheme="minorHAnsi"/>
          <w:sz w:val="20"/>
          <w:szCs w:val="20"/>
        </w:rPr>
      </w:pPr>
      <w:r>
        <w:rPr>
          <w:rFonts w:cstheme="minorHAnsi"/>
          <w:sz w:val="20"/>
          <w:szCs w:val="20"/>
        </w:rPr>
        <w:t xml:space="preserve">Montage innerhalb des Fahrkorbes an der Decke oder Seitenwand. </w:t>
      </w:r>
    </w:p>
    <w:p w14:paraId="0C3678E4" w14:textId="77777777" w:rsidR="00DD073C" w:rsidRDefault="00DD073C" w:rsidP="00DD073C">
      <w:pPr>
        <w:pStyle w:val="KeinLeerraum"/>
        <w:rPr>
          <w:rFonts w:cstheme="minorHAnsi"/>
          <w:sz w:val="20"/>
          <w:szCs w:val="20"/>
        </w:rPr>
      </w:pPr>
      <w:r>
        <w:rPr>
          <w:rFonts w:cstheme="minorHAnsi"/>
          <w:sz w:val="20"/>
          <w:szCs w:val="20"/>
        </w:rPr>
        <w:t>Leitungsverlegung zur Reinigungseinheit und Spannungsversorgung an der Außenseite des Fahrkorb nach VDE.</w:t>
      </w:r>
    </w:p>
    <w:p w14:paraId="20C87F99" w14:textId="77777777" w:rsidR="00DD073C" w:rsidRDefault="00DD073C" w:rsidP="00DD073C">
      <w:pPr>
        <w:pStyle w:val="KeinLeerraum"/>
        <w:rPr>
          <w:sz w:val="20"/>
          <w:szCs w:val="20"/>
        </w:rPr>
      </w:pPr>
    </w:p>
    <w:p w14:paraId="46D3CFF9" w14:textId="77777777" w:rsidR="00DD073C" w:rsidRPr="00F5669B" w:rsidRDefault="00DD073C" w:rsidP="00DD073C">
      <w:pPr>
        <w:pStyle w:val="KeinLeerraum"/>
        <w:rPr>
          <w:sz w:val="20"/>
          <w:szCs w:val="20"/>
        </w:rPr>
      </w:pPr>
    </w:p>
    <w:p w14:paraId="46DE508F" w14:textId="77777777" w:rsidR="00DD073C" w:rsidRPr="00C2303D" w:rsidRDefault="00DD073C" w:rsidP="00DD073C">
      <w:pPr>
        <w:pStyle w:val="KeinLeerraum"/>
        <w:rPr>
          <w:sz w:val="20"/>
          <w:szCs w:val="20"/>
        </w:rPr>
      </w:pPr>
      <w:r w:rsidRPr="00C2303D">
        <w:rPr>
          <w:sz w:val="20"/>
          <w:szCs w:val="20"/>
        </w:rPr>
        <w:t>Produktmerkmale</w:t>
      </w:r>
      <w:r>
        <w:rPr>
          <w:sz w:val="20"/>
          <w:szCs w:val="20"/>
        </w:rPr>
        <w:t xml:space="preserve"> Lüftereinheit</w:t>
      </w:r>
      <w:r w:rsidRPr="00C2303D">
        <w:rPr>
          <w:sz w:val="20"/>
          <w:szCs w:val="20"/>
        </w:rPr>
        <w:t>:</w:t>
      </w:r>
    </w:p>
    <w:p w14:paraId="59C55444" w14:textId="77777777" w:rsidR="00DD073C" w:rsidRDefault="00DD073C" w:rsidP="00DD073C">
      <w:pPr>
        <w:pStyle w:val="KeinLeerraum"/>
        <w:numPr>
          <w:ilvl w:val="1"/>
          <w:numId w:val="1"/>
        </w:numPr>
        <w:ind w:left="567" w:hanging="426"/>
        <w:rPr>
          <w:sz w:val="20"/>
          <w:szCs w:val="20"/>
        </w:rPr>
      </w:pPr>
      <w:r>
        <w:rPr>
          <w:sz w:val="20"/>
          <w:szCs w:val="20"/>
        </w:rPr>
        <w:t>Axialventilator 24V</w:t>
      </w:r>
    </w:p>
    <w:p w14:paraId="023E9823" w14:textId="77777777" w:rsidR="00DD073C" w:rsidRDefault="00DD073C" w:rsidP="00DD073C">
      <w:pPr>
        <w:pStyle w:val="KeinLeerraum"/>
        <w:numPr>
          <w:ilvl w:val="1"/>
          <w:numId w:val="1"/>
        </w:numPr>
        <w:ind w:left="567" w:hanging="426"/>
        <w:rPr>
          <w:sz w:val="20"/>
          <w:szCs w:val="20"/>
        </w:rPr>
      </w:pPr>
      <w:r>
        <w:rPr>
          <w:sz w:val="20"/>
          <w:szCs w:val="20"/>
        </w:rPr>
        <w:t xml:space="preserve">Abmessungen </w:t>
      </w:r>
      <w:proofErr w:type="spellStart"/>
      <w:r>
        <w:rPr>
          <w:sz w:val="20"/>
          <w:szCs w:val="20"/>
        </w:rPr>
        <w:t>inkl</w:t>
      </w:r>
      <w:proofErr w:type="spellEnd"/>
      <w:r>
        <w:rPr>
          <w:sz w:val="20"/>
          <w:szCs w:val="20"/>
        </w:rPr>
        <w:t xml:space="preserve"> Gehäuse B x L x H ca.: 180 x 150 x 60mm</w:t>
      </w:r>
      <w:r>
        <w:rPr>
          <w:sz w:val="20"/>
          <w:szCs w:val="20"/>
        </w:rPr>
        <w:br/>
        <w:t>Auslegung der Lüfterleistung und des Volumenstrom nach VDI 6211</w:t>
      </w:r>
    </w:p>
    <w:p w14:paraId="365F2B9D" w14:textId="77777777" w:rsidR="00DD073C" w:rsidRPr="00C2303D" w:rsidRDefault="00DD073C" w:rsidP="00DD073C">
      <w:pPr>
        <w:pStyle w:val="KeinLeerraum"/>
        <w:numPr>
          <w:ilvl w:val="1"/>
          <w:numId w:val="1"/>
        </w:numPr>
        <w:ind w:left="567" w:hanging="426"/>
        <w:rPr>
          <w:sz w:val="20"/>
          <w:szCs w:val="20"/>
        </w:rPr>
      </w:pPr>
      <w:r>
        <w:rPr>
          <w:sz w:val="20"/>
          <w:szCs w:val="20"/>
        </w:rPr>
        <w:t>Metallgehäuse zum Schutz des Ventilators</w:t>
      </w:r>
    </w:p>
    <w:p w14:paraId="7C190904" w14:textId="77777777" w:rsidR="00DD073C" w:rsidRDefault="00DD073C" w:rsidP="00DD073C">
      <w:pPr>
        <w:pStyle w:val="KeinLeerraum"/>
        <w:numPr>
          <w:ilvl w:val="1"/>
          <w:numId w:val="1"/>
        </w:numPr>
        <w:ind w:left="567" w:hanging="426"/>
        <w:rPr>
          <w:sz w:val="20"/>
          <w:szCs w:val="20"/>
        </w:rPr>
      </w:pPr>
      <w:r>
        <w:rPr>
          <w:sz w:val="20"/>
          <w:szCs w:val="20"/>
        </w:rPr>
        <w:t xml:space="preserve">Akkugepufferte Spannungsversorgung inkl. 2 </w:t>
      </w:r>
      <w:proofErr w:type="spellStart"/>
      <w:r>
        <w:rPr>
          <w:sz w:val="20"/>
          <w:szCs w:val="20"/>
        </w:rPr>
        <w:t>Stk</w:t>
      </w:r>
      <w:proofErr w:type="spellEnd"/>
      <w:r>
        <w:rPr>
          <w:sz w:val="20"/>
          <w:szCs w:val="20"/>
        </w:rPr>
        <w:t xml:space="preserve">. Notstrom-Akkus </w:t>
      </w:r>
      <w:r>
        <w:rPr>
          <w:sz w:val="20"/>
          <w:szCs w:val="20"/>
        </w:rPr>
        <w:br/>
        <w:t xml:space="preserve">(Überbrückungszeit bei Stromausfall min. 2 Std.) </w:t>
      </w:r>
    </w:p>
    <w:p w14:paraId="677BCD45" w14:textId="77777777" w:rsidR="00DD073C" w:rsidRPr="00405200" w:rsidRDefault="00DD073C" w:rsidP="00DD073C">
      <w:pPr>
        <w:pStyle w:val="KeinLeerraum"/>
        <w:numPr>
          <w:ilvl w:val="1"/>
          <w:numId w:val="1"/>
        </w:numPr>
        <w:ind w:left="567" w:hanging="426"/>
        <w:rPr>
          <w:sz w:val="20"/>
          <w:szCs w:val="20"/>
        </w:rPr>
      </w:pPr>
      <w:r>
        <w:rPr>
          <w:sz w:val="20"/>
          <w:szCs w:val="20"/>
        </w:rPr>
        <w:t>Konform nach DIN EN 61000-1</w:t>
      </w:r>
    </w:p>
    <w:p w14:paraId="137EC2C9" w14:textId="77777777" w:rsidR="00DD073C" w:rsidRDefault="00DD073C" w:rsidP="00DD073C">
      <w:pPr>
        <w:pStyle w:val="KeinLeerraum"/>
        <w:numPr>
          <w:ilvl w:val="1"/>
          <w:numId w:val="1"/>
        </w:numPr>
        <w:ind w:left="567" w:hanging="426"/>
        <w:rPr>
          <w:sz w:val="20"/>
          <w:szCs w:val="20"/>
        </w:rPr>
      </w:pPr>
      <w:r>
        <w:rPr>
          <w:sz w:val="20"/>
          <w:szCs w:val="20"/>
        </w:rPr>
        <w:t>Geräuscharmer Betrieb (max. 40 dB)</w:t>
      </w:r>
    </w:p>
    <w:p w14:paraId="01035005" w14:textId="77777777" w:rsidR="00DD073C" w:rsidRDefault="00DD073C" w:rsidP="00DD073C">
      <w:pPr>
        <w:pStyle w:val="KeinLeerraum"/>
        <w:numPr>
          <w:ilvl w:val="1"/>
          <w:numId w:val="1"/>
        </w:numPr>
        <w:ind w:left="567" w:hanging="426"/>
        <w:rPr>
          <w:sz w:val="20"/>
          <w:szCs w:val="20"/>
        </w:rPr>
      </w:pPr>
      <w:r>
        <w:rPr>
          <w:sz w:val="20"/>
          <w:szCs w:val="20"/>
        </w:rPr>
        <w:t>Einhaltung der in der VDI 6211 geforderten Eigenschaften</w:t>
      </w:r>
    </w:p>
    <w:p w14:paraId="77218FBA" w14:textId="77777777" w:rsidR="00DD073C" w:rsidRPr="00F43167" w:rsidRDefault="00DD073C" w:rsidP="00DD073C">
      <w:pPr>
        <w:pStyle w:val="KeinLeerraum"/>
        <w:numPr>
          <w:ilvl w:val="1"/>
          <w:numId w:val="1"/>
        </w:numPr>
        <w:ind w:left="567" w:hanging="426"/>
        <w:rPr>
          <w:sz w:val="20"/>
          <w:szCs w:val="20"/>
        </w:rPr>
      </w:pPr>
      <w:r>
        <w:rPr>
          <w:sz w:val="20"/>
          <w:szCs w:val="20"/>
        </w:rPr>
        <w:t>Potentialfreier Eingang für Störkontakt (Sammelstörung) aus der Aufzugsstörung</w:t>
      </w:r>
    </w:p>
    <w:p w14:paraId="5D93D073" w14:textId="77777777" w:rsidR="00DD073C" w:rsidRDefault="00DD073C" w:rsidP="00DD073C">
      <w:pPr>
        <w:pStyle w:val="KeinLeerraum"/>
        <w:rPr>
          <w:rFonts w:cstheme="minorHAnsi"/>
          <w:sz w:val="20"/>
          <w:szCs w:val="20"/>
        </w:rPr>
      </w:pPr>
    </w:p>
    <w:p w14:paraId="0AB0B727" w14:textId="77777777" w:rsidR="00DD073C" w:rsidRDefault="00DD073C" w:rsidP="00DD073C">
      <w:pPr>
        <w:pStyle w:val="KeinLeerraum"/>
        <w:rPr>
          <w:rFonts w:cstheme="minorHAnsi"/>
          <w:sz w:val="20"/>
          <w:szCs w:val="20"/>
        </w:rPr>
      </w:pPr>
      <w:r>
        <w:rPr>
          <w:rFonts w:cstheme="minorHAnsi"/>
          <w:sz w:val="20"/>
          <w:szCs w:val="20"/>
        </w:rPr>
        <w:t xml:space="preserve">Montage verdeckt außerhalb des Fahrkorbs hinter der Ionisationseinheit. </w:t>
      </w:r>
    </w:p>
    <w:p w14:paraId="386F11CF" w14:textId="77777777" w:rsidR="00DD073C" w:rsidRDefault="00DD073C" w:rsidP="00DD073C">
      <w:pPr>
        <w:pStyle w:val="KeinLeerraum"/>
        <w:rPr>
          <w:rFonts w:cstheme="minorHAnsi"/>
          <w:sz w:val="20"/>
          <w:szCs w:val="20"/>
        </w:rPr>
      </w:pPr>
      <w:r>
        <w:rPr>
          <w:rFonts w:cstheme="minorHAnsi"/>
          <w:sz w:val="20"/>
          <w:szCs w:val="20"/>
        </w:rPr>
        <w:t>Die Leitungsverlegung zur Lüftereinheit und Spannungsversorgung nach VDE.</w:t>
      </w:r>
    </w:p>
    <w:p w14:paraId="180B0659" w14:textId="77777777" w:rsidR="00DD073C" w:rsidRDefault="00DD073C" w:rsidP="00DD073C">
      <w:pPr>
        <w:pStyle w:val="KeinLeerraum"/>
        <w:rPr>
          <w:rFonts w:cstheme="minorHAnsi"/>
          <w:sz w:val="20"/>
          <w:szCs w:val="20"/>
        </w:rPr>
      </w:pPr>
    </w:p>
    <w:p w14:paraId="79FF3721" w14:textId="77777777" w:rsidR="00DD073C" w:rsidRDefault="00DD073C" w:rsidP="00DD073C">
      <w:pPr>
        <w:pStyle w:val="KeinLeerraum"/>
        <w:rPr>
          <w:rFonts w:cstheme="minorHAnsi"/>
          <w:sz w:val="20"/>
          <w:szCs w:val="20"/>
        </w:rPr>
      </w:pPr>
      <w:r>
        <w:rPr>
          <w:rFonts w:cstheme="minorHAnsi"/>
          <w:sz w:val="20"/>
          <w:szCs w:val="20"/>
        </w:rPr>
        <w:t>Hinweis: Umluftsysteme mit HEPA-Filter, UV-C Lampen, etc. sind nicht zulässig.</w:t>
      </w:r>
    </w:p>
    <w:p w14:paraId="4EF2F309" w14:textId="77777777" w:rsidR="00DD073C" w:rsidRDefault="00DD073C" w:rsidP="00DD073C">
      <w:pPr>
        <w:pStyle w:val="KeinLeerraum"/>
        <w:rPr>
          <w:rFonts w:cstheme="minorHAnsi"/>
          <w:sz w:val="20"/>
          <w:szCs w:val="20"/>
        </w:rPr>
      </w:pPr>
    </w:p>
    <w:p w14:paraId="59627875" w14:textId="77777777" w:rsidR="00DD073C" w:rsidRPr="00E00D77" w:rsidRDefault="00DD073C" w:rsidP="00DD073C">
      <w:pPr>
        <w:pStyle w:val="KeinLeerraum"/>
        <w:rPr>
          <w:rFonts w:cstheme="minorHAnsi"/>
          <w:sz w:val="20"/>
          <w:szCs w:val="20"/>
          <w:lang w:val="en-US"/>
        </w:rPr>
      </w:pPr>
      <w:proofErr w:type="spellStart"/>
      <w:r w:rsidRPr="00E00D77">
        <w:rPr>
          <w:rFonts w:cstheme="minorHAnsi"/>
          <w:sz w:val="20"/>
          <w:szCs w:val="20"/>
          <w:lang w:val="en-US"/>
        </w:rPr>
        <w:t>Referenzprodukt</w:t>
      </w:r>
      <w:proofErr w:type="spellEnd"/>
      <w:r w:rsidRPr="00E00D77">
        <w:rPr>
          <w:rFonts w:cstheme="minorHAnsi"/>
          <w:sz w:val="20"/>
          <w:szCs w:val="20"/>
          <w:lang w:val="en-US"/>
        </w:rPr>
        <w:t>: LIVE AIR Lift Clean Pro</w:t>
      </w:r>
    </w:p>
    <w:p w14:paraId="31B418B1" w14:textId="77777777" w:rsidR="00DD073C" w:rsidRPr="00E00D77" w:rsidRDefault="00DD073C" w:rsidP="00DD073C">
      <w:pPr>
        <w:pStyle w:val="KeinLeerraum"/>
        <w:rPr>
          <w:rFonts w:cstheme="minorHAnsi"/>
          <w:sz w:val="20"/>
          <w:szCs w:val="20"/>
          <w:lang w:val="en-US"/>
        </w:rPr>
      </w:pPr>
    </w:p>
    <w:p w14:paraId="6523FF43" w14:textId="77777777" w:rsidR="00DD073C" w:rsidRPr="00E84EE2" w:rsidRDefault="00DD073C" w:rsidP="00DD073C">
      <w:pPr>
        <w:tabs>
          <w:tab w:val="left" w:pos="1417"/>
          <w:tab w:val="left" w:pos="510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rPr>
          <w:rFonts w:asciiTheme="minorHAnsi" w:hAnsiTheme="minorHAnsi" w:cstheme="minorHAnsi"/>
          <w:b/>
          <w:sz w:val="20"/>
          <w:szCs w:val="20"/>
        </w:rPr>
      </w:pPr>
      <w:r w:rsidRPr="00E84EE2">
        <w:rPr>
          <w:rFonts w:asciiTheme="minorHAnsi" w:hAnsiTheme="minorHAnsi" w:cstheme="minorHAnsi"/>
          <w:b/>
          <w:sz w:val="20"/>
          <w:szCs w:val="20"/>
        </w:rPr>
        <w:t xml:space="preserve">System liefern und betriebsfertig montieren. </w:t>
      </w:r>
    </w:p>
    <w:p w14:paraId="310499B0" w14:textId="77777777" w:rsidR="00DD073C" w:rsidRPr="00C2303D" w:rsidRDefault="00DD073C" w:rsidP="00DD073C">
      <w:pPr>
        <w:tabs>
          <w:tab w:val="left" w:pos="1417"/>
          <w:tab w:val="left" w:pos="5102"/>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rPr>
          <w:rFonts w:asciiTheme="minorHAnsi" w:hAnsiTheme="minorHAnsi" w:cstheme="minorHAnsi"/>
          <w:sz w:val="20"/>
          <w:szCs w:val="20"/>
        </w:rPr>
      </w:pPr>
    </w:p>
    <w:p w14:paraId="1888C171" w14:textId="4771EC3D" w:rsidR="00DD073C" w:rsidRDefault="00DD073C" w:rsidP="00DD073C">
      <w:pPr>
        <w:tabs>
          <w:tab w:val="left" w:pos="1417"/>
          <w:tab w:val="left" w:pos="5102"/>
          <w:tab w:val="left" w:pos="6521"/>
          <w:tab w:val="left" w:pos="10206"/>
          <w:tab w:val="left" w:pos="11340"/>
          <w:tab w:val="left" w:pos="12474"/>
          <w:tab w:val="left" w:pos="13608"/>
          <w:tab w:val="left" w:pos="14742"/>
          <w:tab w:val="left" w:pos="15876"/>
          <w:tab w:val="left" w:pos="17010"/>
          <w:tab w:val="left" w:pos="18144"/>
          <w:tab w:val="left" w:pos="19278"/>
          <w:tab w:val="left" w:pos="20412"/>
          <w:tab w:val="left" w:pos="21546"/>
          <w:tab w:val="left" w:pos="22680"/>
        </w:tabs>
        <w:autoSpaceDE w:val="0"/>
        <w:ind w:left="708"/>
        <w:rPr>
          <w:rFonts w:asciiTheme="minorHAnsi" w:hAnsiTheme="minorHAnsi" w:cstheme="minorHAnsi"/>
          <w:sz w:val="20"/>
          <w:szCs w:val="20"/>
          <w:lang w:eastAsia="fr-LU"/>
        </w:rPr>
      </w:pPr>
      <w:r>
        <w:rPr>
          <w:rFonts w:asciiTheme="minorHAnsi" w:hAnsiTheme="minorHAnsi" w:cstheme="minorHAnsi"/>
          <w:sz w:val="20"/>
          <w:szCs w:val="20"/>
          <w:lang w:eastAsia="fr-LU"/>
        </w:rPr>
        <w:tab/>
      </w:r>
      <w:r>
        <w:rPr>
          <w:rFonts w:asciiTheme="minorHAnsi" w:hAnsiTheme="minorHAnsi" w:cstheme="minorHAnsi"/>
          <w:sz w:val="20"/>
          <w:szCs w:val="20"/>
          <w:lang w:eastAsia="fr-LU"/>
        </w:rPr>
        <w:tab/>
        <w:t xml:space="preserve">1 Stück </w:t>
      </w:r>
      <w:r w:rsidRPr="00C2303D">
        <w:rPr>
          <w:rFonts w:asciiTheme="minorHAnsi" w:hAnsiTheme="minorHAnsi" w:cstheme="minorHAnsi"/>
          <w:sz w:val="20"/>
          <w:szCs w:val="20"/>
          <w:lang w:eastAsia="fr-LU"/>
        </w:rPr>
        <w:t xml:space="preserve">EP ..............     </w:t>
      </w:r>
      <w:r>
        <w:rPr>
          <w:rFonts w:asciiTheme="minorHAnsi" w:hAnsiTheme="minorHAnsi" w:cstheme="minorHAnsi"/>
          <w:sz w:val="20"/>
          <w:szCs w:val="20"/>
          <w:lang w:eastAsia="fr-LU"/>
        </w:rPr>
        <w:t xml:space="preserve">     </w:t>
      </w:r>
      <w:r w:rsidRPr="00C2303D">
        <w:rPr>
          <w:rFonts w:asciiTheme="minorHAnsi" w:hAnsiTheme="minorHAnsi" w:cstheme="minorHAnsi"/>
          <w:sz w:val="20"/>
          <w:szCs w:val="20"/>
          <w:lang w:eastAsia="fr-LU"/>
        </w:rPr>
        <w:t>GP ..........</w:t>
      </w:r>
    </w:p>
    <w:p w14:paraId="291F44DF" w14:textId="6F9F7C51" w:rsidR="008325C1" w:rsidRPr="00DD073C" w:rsidRDefault="008325C1" w:rsidP="00DD073C"/>
    <w:sectPr w:rsidR="008325C1" w:rsidRPr="00DD073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0461C5"/>
    <w:multiLevelType w:val="hybridMultilevel"/>
    <w:tmpl w:val="D6C043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44774545"/>
    <w:multiLevelType w:val="hybridMultilevel"/>
    <w:tmpl w:val="6FFEEC18"/>
    <w:lvl w:ilvl="0" w:tplc="04070005">
      <w:start w:val="1"/>
      <w:numFmt w:val="bullet"/>
      <w:lvlText w:val=""/>
      <w:lvlJc w:val="left"/>
      <w:pPr>
        <w:ind w:left="1428" w:hanging="360"/>
      </w:pPr>
      <w:rPr>
        <w:rFonts w:ascii="Wingdings" w:hAnsi="Wingdings" w:hint="default"/>
      </w:rPr>
    </w:lvl>
    <w:lvl w:ilvl="1" w:tplc="04070005">
      <w:start w:val="1"/>
      <w:numFmt w:val="bullet"/>
      <w:lvlText w:val=""/>
      <w:lvlJc w:val="left"/>
      <w:pPr>
        <w:ind w:left="2148" w:hanging="360"/>
      </w:pPr>
      <w:rPr>
        <w:rFonts w:ascii="Wingdings" w:hAnsi="Wingdings"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16cid:durableId="344597028">
    <w:abstractNumId w:val="1"/>
  </w:num>
  <w:num w:numId="2" w16cid:durableId="21379860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98"/>
    <w:rsid w:val="0007179C"/>
    <w:rsid w:val="008325C1"/>
    <w:rsid w:val="00DD073C"/>
    <w:rsid w:val="00E37898"/>
    <w:rsid w:val="00F174E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024E7"/>
  <w15:chartTrackingRefBased/>
  <w15:docId w15:val="{B14FE7CD-D9AF-4E99-8104-D0AF30CDD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37898"/>
    <w:pPr>
      <w:widowControl w:val="0"/>
      <w:autoSpaceDN w:val="0"/>
      <w:adjustRightInd w:val="0"/>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E378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D77A5E19A63284F937A08F967522895" ma:contentTypeVersion="11" ma:contentTypeDescription="Ein neues Dokument erstellen." ma:contentTypeScope="" ma:versionID="ad9f2b3eb367297e3517f98cd13975ec">
  <xsd:schema xmlns:xsd="http://www.w3.org/2001/XMLSchema" xmlns:xs="http://www.w3.org/2001/XMLSchema" xmlns:p="http://schemas.microsoft.com/office/2006/metadata/properties" xmlns:ns2="a0966bc9-6c4a-4b05-9edc-2e887719614a" xmlns:ns3="b7079ac6-40c5-439e-8b05-f055755a748b" targetNamespace="http://schemas.microsoft.com/office/2006/metadata/properties" ma:root="true" ma:fieldsID="9056c9d53db0227c49f4280497b05dee" ns2:_="" ns3:_="">
    <xsd:import namespace="a0966bc9-6c4a-4b05-9edc-2e887719614a"/>
    <xsd:import namespace="b7079ac6-40c5-439e-8b05-f055755a748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66bc9-6c4a-4b05-9edc-2e88771961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636db36b-e246-4e15-b84b-fd56204f790f"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079ac6-40c5-439e-8b05-f055755a748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ce8af41-66c8-447b-b203-4491c53ef85b}" ma:internalName="TaxCatchAll" ma:showField="CatchAllData" ma:web="b7079ac6-40c5-439e-8b05-f055755a74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966bc9-6c4a-4b05-9edc-2e887719614a">
      <Terms xmlns="http://schemas.microsoft.com/office/infopath/2007/PartnerControls"/>
    </lcf76f155ced4ddcb4097134ff3c332f>
    <TaxCatchAll xmlns="b7079ac6-40c5-439e-8b05-f055755a748b" xsi:nil="true"/>
  </documentManagement>
</p:properties>
</file>

<file path=customXml/itemProps1.xml><?xml version="1.0" encoding="utf-8"?>
<ds:datastoreItem xmlns:ds="http://schemas.openxmlformats.org/officeDocument/2006/customXml" ds:itemID="{663B0426-7F16-46BB-8B61-197ACC6D2299}"/>
</file>

<file path=customXml/itemProps2.xml><?xml version="1.0" encoding="utf-8"?>
<ds:datastoreItem xmlns:ds="http://schemas.openxmlformats.org/officeDocument/2006/customXml" ds:itemID="{EB907C25-E75A-4DD0-ACB5-2DAB2B446DA4}"/>
</file>

<file path=customXml/itemProps3.xml><?xml version="1.0" encoding="utf-8"?>
<ds:datastoreItem xmlns:ds="http://schemas.openxmlformats.org/officeDocument/2006/customXml" ds:itemID="{B4F9A6B6-FFFF-440D-8B88-9CBCC06226EA}"/>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2305</Characters>
  <Application>Microsoft Office Word</Application>
  <DocSecurity>0</DocSecurity>
  <Lines>19</Lines>
  <Paragraphs>5</Paragraphs>
  <ScaleCrop>false</ScaleCrop>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Burda</dc:creator>
  <cp:keywords/>
  <dc:description/>
  <cp:lastModifiedBy>Alexander Burda</cp:lastModifiedBy>
  <cp:revision>3</cp:revision>
  <cp:lastPrinted>2023-03-21T08:23:00Z</cp:lastPrinted>
  <dcterms:created xsi:type="dcterms:W3CDTF">2023-03-21T08:25:00Z</dcterms:created>
  <dcterms:modified xsi:type="dcterms:W3CDTF">2023-03-21T08:26:00Z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0x010100DD77A5E19A63284F937A08F967522895</vt:lpwstr>
  </property>
  <property fmtid="{D5CDD505-2E9C-101B-9397-08002B2CF9AE}" pid="3" name="MediaServiceImageTags">
    <vt:lpwstr/>
  </property>
</Properties>
</file>